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1E" w:rsidRDefault="00E21E1E" w:rsidP="00E21E1E">
      <w:pPr>
        <w:jc w:val="center"/>
        <w:textAlignment w:val="top"/>
        <w:rPr>
          <w:rFonts w:ascii="Tahoma" w:hAnsi="Tahoma" w:cs="B Mitra" w:hint="cs"/>
          <w:b/>
          <w:bCs/>
          <w:color w:val="000000"/>
          <w:rtl/>
        </w:rPr>
      </w:pPr>
    </w:p>
    <w:p w:rsidR="00E21E1E" w:rsidRDefault="00E21E1E" w:rsidP="009325D4">
      <w:pPr>
        <w:jc w:val="center"/>
        <w:textAlignment w:val="top"/>
        <w:rPr>
          <w:b/>
          <w:bCs/>
          <w:color w:val="000000"/>
          <w:rtl/>
        </w:rPr>
      </w:pPr>
      <w:r>
        <w:rPr>
          <w:rFonts w:ascii="Tahoma" w:hAnsi="Tahoma" w:cs="B Mitra" w:hint="cs"/>
          <w:b/>
          <w:bCs/>
          <w:color w:val="000000"/>
          <w:rtl/>
        </w:rPr>
        <w:t>1</w:t>
      </w:r>
      <w:r w:rsidRPr="00016A7A">
        <w:rPr>
          <w:rFonts w:ascii="Tahoma" w:hAnsi="Tahoma" w:cs="B Mitra"/>
          <w:b/>
          <w:bCs/>
          <w:color w:val="000000"/>
          <w:rtl/>
        </w:rPr>
        <w:t xml:space="preserve">. اولويت‌هاي پژوهشي معاونت </w:t>
      </w:r>
      <w:r w:rsidR="00C54562">
        <w:rPr>
          <w:rFonts w:ascii="Tahoma" w:hAnsi="Tahoma" w:cs="B Mitra" w:hint="cs"/>
          <w:b/>
          <w:bCs/>
          <w:color w:val="000000"/>
          <w:rtl/>
        </w:rPr>
        <w:t>توسعه مدیریت و منابع</w:t>
      </w:r>
      <w:r w:rsidRPr="00016A7A">
        <w:rPr>
          <w:rFonts w:ascii="Tahoma" w:hAnsi="Tahoma" w:cs="B Mitra"/>
          <w:b/>
          <w:bCs/>
          <w:color w:val="000000"/>
          <w:rtl/>
        </w:rPr>
        <w:t xml:space="preserve"> 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</w:p>
    <w:p w:rsidR="00016A7A" w:rsidRPr="009325D4" w:rsidRDefault="00016A7A" w:rsidP="00016A7A">
      <w:pPr>
        <w:textAlignment w:val="top"/>
        <w:rPr>
          <w:rFonts w:ascii="Tahoma" w:hAnsi="Tahoma" w:cs="B Mitra" w:hint="cs"/>
          <w:color w:val="000000"/>
          <w:sz w:val="28"/>
          <w:szCs w:val="28"/>
          <w:rtl/>
          <w:lang w:bidi="fa-IR"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1-1 بررسي كمي و كيفي افزايش ساعت كار ادارات و</w:t>
      </w:r>
      <w:r w:rsidR="009754CA" w:rsidRPr="009325D4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9325D4">
        <w:rPr>
          <w:rFonts w:ascii="Tahoma" w:hAnsi="Tahoma" w:cs="B Mitra"/>
          <w:color w:val="000000"/>
          <w:sz w:val="28"/>
          <w:szCs w:val="28"/>
          <w:rtl/>
        </w:rPr>
        <w:t>تعطيلي پنج‌شنبه‌‌ها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2-1 بررسي ميزان رضايتمندي و</w:t>
      </w:r>
      <w:r w:rsidR="009754CA" w:rsidRPr="009325D4">
        <w:rPr>
          <w:rFonts w:ascii="Tahoma" w:hAnsi="Tahoma" w:cs="B Mitra" w:hint="cs"/>
          <w:color w:val="000000"/>
          <w:sz w:val="28"/>
          <w:szCs w:val="28"/>
          <w:rtl/>
        </w:rPr>
        <w:t xml:space="preserve"> </w:t>
      </w:r>
      <w:r w:rsidRPr="009325D4">
        <w:rPr>
          <w:rFonts w:ascii="Tahoma" w:hAnsi="Tahoma" w:cs="B Mitra"/>
          <w:color w:val="000000"/>
          <w:sz w:val="28"/>
          <w:szCs w:val="28"/>
          <w:rtl/>
        </w:rPr>
        <w:t>تكريم ارباب رجوع از خدمات ارائه‌شده در كليه حوزه‌هاي دانشگاه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3-1 بررسي امور رفاهي كاركنان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4-1 بررسي ميزان رضايتمندي مشتريان از خدمات ارائه‌شده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5-1 بررسي واگذاري خدمات درماني به بخش خصوصي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6-1 بررسي دلائل عدم موفقيت واگذاري امور عمومي به بخش خصوصي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7-1 بررسي نحوه اجراي قانون خدمات كشوري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 xml:space="preserve">8-1 بررسي علل پائين بودن انگيزش در كاركنان 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9-1 بررسي نحوه اجراي حسابداري تعهدي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10-1 بررسي تطبيقي اجراي پروژه‌هاي عمراني بصورت اماني وپيماني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11-1 بررسي راهكارهاي كاهش مدت زمان اجراي پروژه‌هاي عمراني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12-1 بررسي راهكارهاي شناسايي صلاحيت پيمانكاران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13-1 بررسي راهكارهاي كاهش بروكراسي در امور اداري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14-1 بررسي تطبيقي واگذاري خدمات بصورت حجمي و مديريتي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15-1 بررسي و تعيين ميزان هزينه‌ها و درآمدهاي مستقيم و غيرمستقيم بخش‌هاي درماني</w:t>
      </w:r>
    </w:p>
    <w:p w:rsidR="00016A7A" w:rsidRPr="009325D4" w:rsidRDefault="00016A7A" w:rsidP="009754C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16-1 بررسي نحوه مكانيزه</w:t>
      </w:r>
      <w:r w:rsidR="009754CA" w:rsidRPr="009325D4">
        <w:rPr>
          <w:rFonts w:ascii="Tahoma" w:hAnsi="Tahoma" w:cs="B Mitra" w:hint="cs"/>
          <w:color w:val="000000"/>
          <w:sz w:val="28"/>
          <w:szCs w:val="28"/>
          <w:rtl/>
        </w:rPr>
        <w:softHyphen/>
      </w:r>
      <w:r w:rsidRPr="009325D4">
        <w:rPr>
          <w:rFonts w:ascii="Tahoma" w:hAnsi="Tahoma" w:cs="B Mitra"/>
          <w:color w:val="000000"/>
          <w:sz w:val="28"/>
          <w:szCs w:val="28"/>
          <w:rtl/>
        </w:rPr>
        <w:t>نمودن سيستم بودجه‌ريزي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17-1 بررسي راهكارهاي توزيع منابع مالي در راستاي برنامه‌ريزي استراتژيك دانشگاه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18-1 بررسي ميزان دستيابي به اهداف برنامه‌ريزي استراتژيك دانشگاه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19-1 بررسي راهكارهاي تجميع امور كارپردازي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20-1 بررسي راهكارهاي كاهش اتكا به بودجه دولتي در دانشگاه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21-1 بررسي راهكارهاي اعمال نظارت اثر بخش بر امور واگذار شده</w:t>
      </w:r>
    </w:p>
    <w:p w:rsidR="00016A7A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22-1 بررسي علل عدم اجراي كامل سيستم مكانيزه دبيرخانه دانشگاه</w:t>
      </w:r>
    </w:p>
    <w:p w:rsidR="00863071" w:rsidRPr="009325D4" w:rsidRDefault="00016A7A" w:rsidP="00016A7A">
      <w:pPr>
        <w:textAlignment w:val="top"/>
        <w:rPr>
          <w:rFonts w:ascii="Tahoma" w:hAnsi="Tahoma" w:cs="B Mitra"/>
          <w:color w:val="000000"/>
          <w:sz w:val="28"/>
          <w:szCs w:val="28"/>
          <w:rtl/>
        </w:rPr>
      </w:pPr>
      <w:r w:rsidRPr="009325D4">
        <w:rPr>
          <w:rFonts w:ascii="Tahoma" w:hAnsi="Tahoma" w:cs="B Mitra"/>
          <w:color w:val="000000"/>
          <w:sz w:val="28"/>
          <w:szCs w:val="28"/>
          <w:rtl/>
        </w:rPr>
        <w:t>23-1 بررسي راهكارهاي جذب كمك هاي مردمي در حوزه سلامت</w:t>
      </w:r>
    </w:p>
    <w:sectPr w:rsidR="00863071" w:rsidRPr="009325D4" w:rsidSect="00C87175">
      <w:pgSz w:w="11906" w:h="16838"/>
      <w:pgMar w:top="719" w:right="1800" w:bottom="14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E3"/>
    <w:multiLevelType w:val="hybridMultilevel"/>
    <w:tmpl w:val="21E264DE"/>
    <w:lvl w:ilvl="0" w:tplc="3CDAEDCA"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16A7A"/>
    <w:rsid w:val="00016A7A"/>
    <w:rsid w:val="002034CB"/>
    <w:rsid w:val="002823EA"/>
    <w:rsid w:val="0029132C"/>
    <w:rsid w:val="00295A03"/>
    <w:rsid w:val="002B5FA3"/>
    <w:rsid w:val="002C038B"/>
    <w:rsid w:val="003D1392"/>
    <w:rsid w:val="003D234C"/>
    <w:rsid w:val="004C3109"/>
    <w:rsid w:val="004D250C"/>
    <w:rsid w:val="00522CE7"/>
    <w:rsid w:val="0058154E"/>
    <w:rsid w:val="005926A8"/>
    <w:rsid w:val="005D7076"/>
    <w:rsid w:val="00621381"/>
    <w:rsid w:val="006A0D5B"/>
    <w:rsid w:val="006F30A6"/>
    <w:rsid w:val="00736644"/>
    <w:rsid w:val="008472E8"/>
    <w:rsid w:val="00863071"/>
    <w:rsid w:val="008B4472"/>
    <w:rsid w:val="008D3B62"/>
    <w:rsid w:val="009325D4"/>
    <w:rsid w:val="009628E5"/>
    <w:rsid w:val="009754CA"/>
    <w:rsid w:val="009B64F9"/>
    <w:rsid w:val="009C5ABD"/>
    <w:rsid w:val="00A5044C"/>
    <w:rsid w:val="00AD16B8"/>
    <w:rsid w:val="00B745F6"/>
    <w:rsid w:val="00C54562"/>
    <w:rsid w:val="00C733A5"/>
    <w:rsid w:val="00C82DEF"/>
    <w:rsid w:val="00C87175"/>
    <w:rsid w:val="00D70F04"/>
    <w:rsid w:val="00DC1B8C"/>
    <w:rsid w:val="00DF5165"/>
    <w:rsid w:val="00DF6723"/>
    <w:rsid w:val="00E21E1E"/>
    <w:rsid w:val="00E27F5E"/>
    <w:rsid w:val="00F553EC"/>
    <w:rsid w:val="00F9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16A7A"/>
    <w:pPr>
      <w:bidi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qFormat/>
    <w:rsid w:val="0001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96693">
      <w:bodyDiv w:val="1"/>
      <w:marLeft w:val="1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91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794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471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6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39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834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اولويت هاي HSR </vt:lpstr>
    </vt:vector>
  </TitlesOfParts>
  <Company>Parsa Pardaz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اولويت هاي HSR </dc:title>
  <dc:subject/>
  <dc:creator>Edari</dc:creator>
  <cp:keywords/>
  <dc:description/>
  <cp:lastModifiedBy>nadi-so</cp:lastModifiedBy>
  <cp:revision>2</cp:revision>
  <dcterms:created xsi:type="dcterms:W3CDTF">2015-12-22T07:55:00Z</dcterms:created>
  <dcterms:modified xsi:type="dcterms:W3CDTF">2015-12-22T07:55:00Z</dcterms:modified>
</cp:coreProperties>
</file>