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5"/>
        <w:bidiVisual/>
        <w:tblW w:w="13167" w:type="dxa"/>
        <w:jc w:val="center"/>
        <w:tblInd w:w="-4349" w:type="dxa"/>
        <w:tblLayout w:type="fixed"/>
        <w:tblLook w:val="04A0"/>
      </w:tblPr>
      <w:tblGrid>
        <w:gridCol w:w="720"/>
        <w:gridCol w:w="5188"/>
        <w:gridCol w:w="1559"/>
        <w:gridCol w:w="800"/>
        <w:gridCol w:w="950"/>
        <w:gridCol w:w="1369"/>
        <w:gridCol w:w="2581"/>
      </w:tblGrid>
      <w:tr w:rsidR="00302A91" w:rsidRPr="009D36FE" w:rsidTr="00AF1A04">
        <w:trPr>
          <w:cnfStyle w:val="1000000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302A91" w:rsidRPr="009D36FE" w:rsidRDefault="00302A91" w:rsidP="00AF1A04">
            <w:pPr>
              <w:bidi/>
              <w:jc w:val="center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رديف</w:t>
            </w:r>
          </w:p>
        </w:tc>
        <w:tc>
          <w:tcPr>
            <w:tcW w:w="5188" w:type="dxa"/>
            <w:vAlign w:val="center"/>
            <w:hideMark/>
          </w:tcPr>
          <w:p w:rsidR="00302A91" w:rsidRPr="009D36FE" w:rsidRDefault="00302A91" w:rsidP="00AF1A04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عنوان لاتين مقاله</w:t>
            </w:r>
          </w:p>
        </w:tc>
        <w:tc>
          <w:tcPr>
            <w:tcW w:w="1559" w:type="dxa"/>
            <w:vAlign w:val="center"/>
            <w:hideMark/>
          </w:tcPr>
          <w:p w:rsidR="00302A91" w:rsidRPr="009D36FE" w:rsidRDefault="00302A91" w:rsidP="00AF1A04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نمايه نامه بين‌المللي نهايي</w:t>
            </w:r>
          </w:p>
        </w:tc>
        <w:tc>
          <w:tcPr>
            <w:tcW w:w="800" w:type="dxa"/>
            <w:vAlign w:val="center"/>
            <w:hideMark/>
          </w:tcPr>
          <w:p w:rsidR="00302A91" w:rsidRPr="009D36FE" w:rsidRDefault="00302A91" w:rsidP="00AF1A04">
            <w:pPr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</w:rPr>
              <w:t>IF</w:t>
            </w:r>
          </w:p>
        </w:tc>
        <w:tc>
          <w:tcPr>
            <w:tcW w:w="950" w:type="dxa"/>
            <w:vAlign w:val="center"/>
            <w:hideMark/>
          </w:tcPr>
          <w:p w:rsidR="00302A91" w:rsidRPr="009D36FE" w:rsidRDefault="00302A91" w:rsidP="00AF1A04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نوع مقاله</w:t>
            </w:r>
          </w:p>
        </w:tc>
        <w:tc>
          <w:tcPr>
            <w:tcW w:w="1369" w:type="dxa"/>
            <w:vAlign w:val="center"/>
            <w:hideMark/>
          </w:tcPr>
          <w:p w:rsidR="00302A91" w:rsidRPr="009D36FE" w:rsidRDefault="00302A91" w:rsidP="00AF1A04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>
              <w:rPr>
                <w:rFonts w:ascii="Tahoma" w:eastAsia="Times New Roman" w:hAnsi="Tahoma" w:cs="B Titr" w:hint="cs"/>
                <w:color w:val="080000"/>
                <w:rtl/>
              </w:rPr>
              <w:t>تاریخ انتشار</w:t>
            </w:r>
          </w:p>
        </w:tc>
        <w:tc>
          <w:tcPr>
            <w:tcW w:w="2581" w:type="dxa"/>
            <w:vAlign w:val="center"/>
            <w:hideMark/>
          </w:tcPr>
          <w:p w:rsidR="00302A91" w:rsidRPr="009D36FE" w:rsidRDefault="00302A91" w:rsidP="00AF1A04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>
              <w:rPr>
                <w:rFonts w:ascii="Tahoma" w:eastAsia="Times New Roman" w:hAnsi="Tahoma" w:cs="B Titr" w:hint="cs"/>
                <w:color w:val="080000"/>
                <w:rtl/>
              </w:rPr>
              <w:t>نام نشریه</w:t>
            </w:r>
          </w:p>
        </w:tc>
      </w:tr>
      <w:tr w:rsidR="00302A91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302A91" w:rsidRPr="00AF1A04" w:rsidRDefault="00302A91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</w:t>
            </w:r>
          </w:p>
        </w:tc>
        <w:tc>
          <w:tcPr>
            <w:tcW w:w="5188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A Comparative Study Concerned with the Prevalence of Iron Deficiency Anemia in Infected and Non-Infected Persons with Helicobacter Pylori in the City of Kashan</w:t>
            </w:r>
          </w:p>
        </w:tc>
        <w:tc>
          <w:tcPr>
            <w:tcW w:w="1559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ISC</w:t>
            </w:r>
          </w:p>
        </w:tc>
        <w:tc>
          <w:tcPr>
            <w:tcW w:w="800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-</w:t>
            </w:r>
          </w:p>
        </w:tc>
        <w:tc>
          <w:tcPr>
            <w:tcW w:w="950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1395/01/01</w:t>
            </w:r>
          </w:p>
          <w:p w:rsidR="00302A91" w:rsidRPr="00AF1A04" w:rsidRDefault="00302A91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2581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  <w:rtl/>
              </w:rPr>
              <w:t>علوم غذایی و تغذیه :   بهار 1395 , دوره  13 , شماره  2 (پیاپی 50) ; از صفحه 29 تا صفحه 36 .</w:t>
            </w:r>
          </w:p>
        </w:tc>
      </w:tr>
      <w:tr w:rsidR="00302A91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302A91" w:rsidRPr="00AF1A04" w:rsidRDefault="00302A91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2</w:t>
            </w:r>
          </w:p>
        </w:tc>
        <w:tc>
          <w:tcPr>
            <w:tcW w:w="5188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Comparison of anti-Mullerian Hormone average between laparoscopic and treatment with clomiphene citrate in patients with polycystic ovarian syndrome</w:t>
            </w:r>
          </w:p>
        </w:tc>
        <w:tc>
          <w:tcPr>
            <w:tcW w:w="1559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ISC</w:t>
            </w:r>
          </w:p>
        </w:tc>
        <w:tc>
          <w:tcPr>
            <w:tcW w:w="800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-</w:t>
            </w:r>
          </w:p>
        </w:tc>
        <w:tc>
          <w:tcPr>
            <w:tcW w:w="950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پژوهشی</w:t>
            </w:r>
          </w:p>
        </w:tc>
        <w:tc>
          <w:tcPr>
            <w:tcW w:w="1369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1395/01/01</w:t>
            </w:r>
          </w:p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2581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  <w:rtl/>
              </w:rPr>
              <w:t>مجله دانشگاه علوم پزشکی شهرکرد دوره 18،شماره 1</w:t>
            </w:r>
          </w:p>
        </w:tc>
      </w:tr>
      <w:tr w:rsidR="00302A91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302A91" w:rsidRPr="00AF1A04" w:rsidRDefault="00302A91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</w:t>
            </w:r>
          </w:p>
        </w:tc>
        <w:tc>
          <w:tcPr>
            <w:tcW w:w="5188" w:type="dxa"/>
            <w:vAlign w:val="center"/>
            <w:hideMark/>
          </w:tcPr>
          <w:p w:rsidR="00302A91" w:rsidRPr="00AF1A04" w:rsidRDefault="00252258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Analgesic Effect of Alcoholi</w:t>
            </w:r>
            <w:r w:rsidR="00A3034B" w:rsidRPr="00AF1A04">
              <w:rPr>
                <w:rFonts w:asciiTheme="majorBidi" w:hAnsiTheme="majorBidi" w:cstheme="majorBidi"/>
                <w:color w:val="080000"/>
              </w:rPr>
              <w:t xml:space="preserve">c Extract of Morus alba L. Leaf </w:t>
            </w:r>
            <w:r w:rsidRPr="00AF1A04">
              <w:rPr>
                <w:rFonts w:asciiTheme="majorBidi" w:hAnsiTheme="majorBidi" w:cstheme="majorBidi"/>
                <w:color w:val="080000"/>
              </w:rPr>
              <w:t>on Male Rats</w:t>
            </w:r>
          </w:p>
        </w:tc>
        <w:tc>
          <w:tcPr>
            <w:tcW w:w="1559" w:type="dxa"/>
            <w:vAlign w:val="center"/>
            <w:hideMark/>
          </w:tcPr>
          <w:p w:rsidR="00302A91" w:rsidRPr="00AF1A04" w:rsidRDefault="00252258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ISC</w:t>
            </w:r>
          </w:p>
        </w:tc>
        <w:tc>
          <w:tcPr>
            <w:tcW w:w="800" w:type="dxa"/>
            <w:vAlign w:val="center"/>
            <w:hideMark/>
          </w:tcPr>
          <w:p w:rsidR="00302A91" w:rsidRPr="00AF1A04" w:rsidRDefault="00252258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-</w:t>
            </w:r>
          </w:p>
        </w:tc>
        <w:tc>
          <w:tcPr>
            <w:tcW w:w="950" w:type="dxa"/>
            <w:vAlign w:val="center"/>
            <w:hideMark/>
          </w:tcPr>
          <w:p w:rsidR="00302A91" w:rsidRPr="00AF1A04" w:rsidRDefault="00252258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پژوهشی</w:t>
            </w:r>
          </w:p>
        </w:tc>
        <w:tc>
          <w:tcPr>
            <w:tcW w:w="1369" w:type="dxa"/>
            <w:vAlign w:val="center"/>
            <w:hideMark/>
          </w:tcPr>
          <w:p w:rsidR="00252258" w:rsidRPr="00AF1A04" w:rsidRDefault="00252258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1395/01/01</w:t>
            </w:r>
          </w:p>
          <w:p w:rsidR="00302A91" w:rsidRPr="00AF1A04" w:rsidRDefault="00302A91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2581" w:type="dxa"/>
            <w:vAlign w:val="center"/>
            <w:hideMark/>
          </w:tcPr>
          <w:p w:rsidR="00302A91" w:rsidRPr="00AF1A04" w:rsidRDefault="00252258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  <w:lang w:bidi="fa-IR"/>
              </w:rPr>
            </w:pPr>
            <w:r w:rsidRPr="00AF1A04">
              <w:rPr>
                <w:rFonts w:asciiTheme="majorBidi" w:hAnsiTheme="majorBidi" w:cstheme="majorBidi"/>
                <w:color w:val="080000"/>
                <w:rtl/>
              </w:rPr>
              <w:t>افق دانش  فصلنامه د ع پ گناباد دوره 22، شماره 2 - ( 1-1395</w:t>
            </w:r>
          </w:p>
        </w:tc>
      </w:tr>
      <w:tr w:rsidR="00302A91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302A91" w:rsidRPr="00AF1A04" w:rsidRDefault="00302A91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</w:t>
            </w:r>
          </w:p>
        </w:tc>
        <w:tc>
          <w:tcPr>
            <w:tcW w:w="5188" w:type="dxa"/>
            <w:vAlign w:val="center"/>
            <w:hideMark/>
          </w:tcPr>
          <w:p w:rsidR="00302A91" w:rsidRPr="00AF1A04" w:rsidRDefault="00A3034B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Selenium Supplementation Affects Insulin Resistance and Serum hs-CRP in Patients with Type 2 Diabetes and Coronary Heart Disease.</w:t>
            </w:r>
          </w:p>
        </w:tc>
        <w:tc>
          <w:tcPr>
            <w:tcW w:w="1559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hAnsiTheme="majorBidi" w:cstheme="majorBidi"/>
                <w:color w:val="080000"/>
              </w:rPr>
              <w:t xml:space="preserve"> PUBMED</w:t>
            </w:r>
          </w:p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800" w:type="dxa"/>
            <w:vAlign w:val="center"/>
            <w:hideMark/>
          </w:tcPr>
          <w:p w:rsidR="00302A91" w:rsidRPr="00AF1A04" w:rsidRDefault="00A3034B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2.029</w:t>
            </w:r>
          </w:p>
        </w:tc>
        <w:tc>
          <w:tcPr>
            <w:tcW w:w="950" w:type="dxa"/>
            <w:vAlign w:val="center"/>
            <w:hideMark/>
          </w:tcPr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1395/01/09</w:t>
            </w:r>
          </w:p>
          <w:p w:rsidR="00302A91" w:rsidRPr="00AF1A04" w:rsidRDefault="00302A91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2581" w:type="dxa"/>
            <w:vAlign w:val="center"/>
            <w:hideMark/>
          </w:tcPr>
          <w:p w:rsidR="00302A91" w:rsidRPr="00AF1A04" w:rsidRDefault="00A3034B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HORMONE AND METABOLIC RESEARCH</w:t>
            </w:r>
          </w:p>
        </w:tc>
      </w:tr>
      <w:tr w:rsidR="00A3034B" w:rsidRPr="009D36FE" w:rsidTr="00AF1A04">
        <w:trPr>
          <w:cnfStyle w:val="000000100000"/>
          <w:trHeight w:val="288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3034B" w:rsidRPr="00AF1A04" w:rsidRDefault="00A3034B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</w:t>
            </w:r>
          </w:p>
        </w:tc>
        <w:tc>
          <w:tcPr>
            <w:tcW w:w="5188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Probiotic supplementation and the effects on weight loss, glycaemia and lipid profiles in women with polycystic ovary syndrome: a randomized, double-blind, placebo-controlled trial.</w:t>
            </w:r>
          </w:p>
        </w:tc>
        <w:tc>
          <w:tcPr>
            <w:tcW w:w="1559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hAnsiTheme="majorBidi" w:cstheme="majorBidi"/>
                <w:color w:val="080000"/>
              </w:rPr>
              <w:t xml:space="preserve"> PUBMED</w:t>
            </w:r>
          </w:p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800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1.103</w:t>
            </w:r>
          </w:p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3034B" w:rsidRPr="00AF1A04" w:rsidRDefault="00A3034B" w:rsidP="00AF1A04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1395/01/18</w:t>
            </w:r>
          </w:p>
          <w:p w:rsidR="00A3034B" w:rsidRPr="00AF1A04" w:rsidRDefault="00A3034B" w:rsidP="00AF1A04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  <w:lang w:bidi="fa-IR"/>
              </w:rPr>
            </w:pPr>
          </w:p>
        </w:tc>
        <w:tc>
          <w:tcPr>
            <w:tcW w:w="2581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Human fertility</w:t>
            </w:r>
          </w:p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</w:tr>
      <w:tr w:rsidR="00A3034B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3034B" w:rsidRPr="00AF1A04" w:rsidRDefault="00A3034B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</w:t>
            </w:r>
          </w:p>
        </w:tc>
        <w:tc>
          <w:tcPr>
            <w:tcW w:w="5188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Women may respond different from men to vitamin D supplementation regarding cardiometabolic biomarkers</w:t>
            </w:r>
          </w:p>
        </w:tc>
        <w:tc>
          <w:tcPr>
            <w:tcW w:w="1559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hAnsiTheme="majorBidi" w:cstheme="majorBidi"/>
                <w:color w:val="080000"/>
              </w:rPr>
              <w:t xml:space="preserve"> PUBMED</w:t>
            </w:r>
          </w:p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800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2.165</w:t>
            </w:r>
          </w:p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1395/01/20</w:t>
            </w:r>
          </w:p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2581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Experimental Biology and Medicine (Maywood) OnlineFirst, published on January 24, 2016</w:t>
            </w:r>
          </w:p>
        </w:tc>
      </w:tr>
      <w:tr w:rsidR="00A3034B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3034B" w:rsidRPr="00AF1A04" w:rsidRDefault="00A3034B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7</w:t>
            </w:r>
          </w:p>
        </w:tc>
        <w:tc>
          <w:tcPr>
            <w:tcW w:w="5188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Investigation of the effect of alcoholic Morus alba leave extract on scopolamine-induced spatial memory impairment in rats</w:t>
            </w:r>
          </w:p>
        </w:tc>
        <w:tc>
          <w:tcPr>
            <w:tcW w:w="1559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Scopus*</w:t>
            </w:r>
          </w:p>
        </w:tc>
        <w:tc>
          <w:tcPr>
            <w:tcW w:w="800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-</w:t>
            </w:r>
          </w:p>
        </w:tc>
        <w:tc>
          <w:tcPr>
            <w:tcW w:w="950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1395/01/21</w:t>
            </w:r>
          </w:p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2581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  <w:rtl/>
              </w:rPr>
              <w:t>دوره ۲۱، شماره ۱ - ( مجله علمی دانشگاه علوم پزشکی کردستان ۱۳۹۵ )</w:t>
            </w:r>
          </w:p>
        </w:tc>
      </w:tr>
      <w:tr w:rsidR="00A3034B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3034B" w:rsidRPr="00AF1A04" w:rsidRDefault="00A3034B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8</w:t>
            </w:r>
          </w:p>
        </w:tc>
        <w:tc>
          <w:tcPr>
            <w:tcW w:w="5188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A randomized-controlled clinical trial investigating the effect of omega-3 fatty acids and vitamin E co-supplementation on markers of insulin metabolism and lipid profiles in gestational diabetes</w:t>
            </w:r>
          </w:p>
        </w:tc>
        <w:tc>
          <w:tcPr>
            <w:tcW w:w="1559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hAnsiTheme="majorBidi" w:cstheme="majorBidi"/>
                <w:color w:val="080000"/>
              </w:rPr>
              <w:t xml:space="preserve"> PUBMED</w:t>
            </w:r>
          </w:p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800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4.906</w:t>
            </w:r>
          </w:p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1395/01/22</w:t>
            </w:r>
          </w:p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2581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Journal of Clinical Lipidology  Volume 10, Issue 2, March–April 2016, Pages 386–393</w:t>
            </w:r>
          </w:p>
        </w:tc>
      </w:tr>
      <w:tr w:rsidR="00A3034B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3034B" w:rsidRPr="00AF1A04" w:rsidRDefault="00A3034B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9</w:t>
            </w:r>
          </w:p>
        </w:tc>
        <w:tc>
          <w:tcPr>
            <w:tcW w:w="5188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The effect of DASH diet on weight  loss and metabolic status in adults with non-alcoholic fatty liver disease:a randomized cliinical trial</w:t>
            </w:r>
          </w:p>
        </w:tc>
        <w:tc>
          <w:tcPr>
            <w:tcW w:w="1559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hAnsiTheme="majorBidi" w:cstheme="majorBidi"/>
                <w:color w:val="080000"/>
              </w:rPr>
              <w:t xml:space="preserve"> PUBMED</w:t>
            </w:r>
          </w:p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800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4.47</w:t>
            </w:r>
          </w:p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3034B" w:rsidRPr="00AF1A04" w:rsidRDefault="008910BE" w:rsidP="00AF1A04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پژوهشی</w:t>
            </w:r>
          </w:p>
        </w:tc>
        <w:tc>
          <w:tcPr>
            <w:tcW w:w="1369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1395/01/25</w:t>
            </w:r>
          </w:p>
          <w:p w:rsidR="00A3034B" w:rsidRPr="00AF1A04" w:rsidRDefault="00A3034B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2581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10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Liver International  Volume 36, Issue 4, pages 563–571, April 2016</w:t>
            </w:r>
          </w:p>
        </w:tc>
      </w:tr>
      <w:tr w:rsidR="00A3034B" w:rsidRPr="009D36FE" w:rsidTr="00AF1A04">
        <w:trPr>
          <w:cnfStyle w:val="000000010000"/>
          <w:trHeight w:val="849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3034B" w:rsidRPr="00AF1A04" w:rsidRDefault="00A3034B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lastRenderedPageBreak/>
              <w:t>10</w:t>
            </w:r>
          </w:p>
        </w:tc>
        <w:tc>
          <w:tcPr>
            <w:tcW w:w="5188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Effect of BMI on anti-Mullerian hormone gene expression in granulosa cells and blood biochemical parameters in patients with polycystic ovary syndrome</w:t>
            </w:r>
          </w:p>
        </w:tc>
        <w:tc>
          <w:tcPr>
            <w:tcW w:w="1559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CINAHL</w:t>
            </w:r>
          </w:p>
        </w:tc>
        <w:tc>
          <w:tcPr>
            <w:tcW w:w="800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-</w:t>
            </w:r>
          </w:p>
        </w:tc>
        <w:tc>
          <w:tcPr>
            <w:tcW w:w="950" w:type="dxa"/>
            <w:vAlign w:val="center"/>
            <w:hideMark/>
          </w:tcPr>
          <w:p w:rsidR="00A3034B" w:rsidRPr="00AF1A04" w:rsidRDefault="00A3034B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8910BE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</w:rPr>
            </w:pPr>
            <w:r w:rsidRPr="00AF1A04">
              <w:rPr>
                <w:rFonts w:asciiTheme="majorBidi" w:hAnsiTheme="majorBidi" w:cstheme="majorBidi"/>
                <w:color w:val="080000"/>
              </w:rPr>
              <w:t>1395/01/25</w:t>
            </w:r>
          </w:p>
          <w:p w:rsidR="00A3034B" w:rsidRPr="00AF1A04" w:rsidRDefault="00A3034B" w:rsidP="00AF1A04">
            <w:pPr>
              <w:spacing w:after="240"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2581" w:type="dxa"/>
            <w:vAlign w:val="center"/>
            <w:hideMark/>
          </w:tcPr>
          <w:p w:rsidR="00A3034B" w:rsidRPr="00AF1A04" w:rsidRDefault="008910BE" w:rsidP="00AF1A04">
            <w:pPr>
              <w:jc w:val="center"/>
              <w:cnfStyle w:val="000000010000"/>
              <w:rPr>
                <w:rFonts w:asciiTheme="majorBidi" w:hAnsiTheme="majorBidi" w:cstheme="majorBidi"/>
                <w:color w:val="080000"/>
                <w:rtl/>
                <w:lang w:bidi="fa-IR"/>
              </w:rPr>
            </w:pPr>
            <w:r w:rsidRPr="00AF1A04">
              <w:rPr>
                <w:rFonts w:asciiTheme="majorBidi" w:hAnsiTheme="majorBidi" w:cstheme="majorBidi"/>
                <w:color w:val="080000"/>
                <w:rtl/>
              </w:rPr>
              <w:t>دوماهنامه علمی پژوهشی فیض 1395; 20 (1) :57-63</w:t>
            </w:r>
          </w:p>
        </w:tc>
      </w:tr>
      <w:tr w:rsidR="00670442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670442" w:rsidRPr="00AF1A04" w:rsidRDefault="00670442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11</w:t>
            </w:r>
          </w:p>
        </w:tc>
        <w:tc>
          <w:tcPr>
            <w:tcW w:w="5188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impact of Ramadhan fasting in women with PCOS:an Association Between  FPG and Lipid Profiles</w:t>
            </w:r>
          </w:p>
        </w:tc>
        <w:tc>
          <w:tcPr>
            <w:tcW w:w="1559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Letter to editor</w:t>
            </w:r>
          </w:p>
        </w:tc>
        <w:tc>
          <w:tcPr>
            <w:tcW w:w="1369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1395/01/30</w:t>
            </w:r>
          </w:p>
        </w:tc>
        <w:tc>
          <w:tcPr>
            <w:tcW w:w="2581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Arch Iran Med. 2016 Apr;19(4):308-9</w:t>
            </w:r>
          </w:p>
        </w:tc>
      </w:tr>
      <w:tr w:rsidR="00670442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670442" w:rsidRPr="00AF1A04" w:rsidRDefault="00670442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12</w:t>
            </w:r>
          </w:p>
        </w:tc>
        <w:tc>
          <w:tcPr>
            <w:tcW w:w="5188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DASH diet on weight loss and metabolic status in adults</w:t>
            </w:r>
            <w:r w:rsidR="00AF1A04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with non-alcoholic fatty liver disease: a randomized clinical trial</w:t>
            </w:r>
          </w:p>
        </w:tc>
        <w:tc>
          <w:tcPr>
            <w:tcW w:w="1559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4.47</w:t>
            </w:r>
          </w:p>
        </w:tc>
        <w:tc>
          <w:tcPr>
            <w:tcW w:w="95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1395/01/30</w:t>
            </w:r>
          </w:p>
        </w:tc>
        <w:tc>
          <w:tcPr>
            <w:tcW w:w="2581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LIVER INTERNATIONAL</w:t>
            </w:r>
          </w:p>
        </w:tc>
      </w:tr>
      <w:tr w:rsidR="00670442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670442" w:rsidRPr="00AF1A04" w:rsidRDefault="00670442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13</w:t>
            </w:r>
          </w:p>
        </w:tc>
        <w:tc>
          <w:tcPr>
            <w:tcW w:w="5188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Effects of Zinc Supplementation on Endocrine Outcomes in Women with Polycystic Ovary Syndrome: a Randomized, Double-Blind, Placebo-Controlled Trial.</w:t>
            </w:r>
          </w:p>
        </w:tc>
        <w:tc>
          <w:tcPr>
            <w:tcW w:w="1559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1.798</w:t>
            </w:r>
          </w:p>
        </w:tc>
        <w:tc>
          <w:tcPr>
            <w:tcW w:w="95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1395/01/31</w:t>
            </w:r>
          </w:p>
        </w:tc>
        <w:tc>
          <w:tcPr>
            <w:tcW w:w="2581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BIOLOGICAL TRACE ELEMENT RESEARCH   Volume: 170   Issue: 2   Pages: 271-278   Published: APR 2016</w:t>
            </w:r>
          </w:p>
        </w:tc>
      </w:tr>
      <w:tr w:rsidR="00670442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670442" w:rsidRPr="00AF1A04" w:rsidRDefault="00670442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14</w:t>
            </w:r>
          </w:p>
        </w:tc>
        <w:tc>
          <w:tcPr>
            <w:tcW w:w="5188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Amygdalin;is it an anticancer and antitumor agent?</w:t>
            </w:r>
          </w:p>
        </w:tc>
        <w:tc>
          <w:tcPr>
            <w:tcW w:w="1559" w:type="dxa"/>
            <w:vAlign w:val="center"/>
            <w:hideMark/>
          </w:tcPr>
          <w:p w:rsidR="00670442" w:rsidRPr="00AF1A04" w:rsidRDefault="00670442" w:rsidP="00AF1A04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علمی-ترویجی</w:t>
            </w:r>
          </w:p>
        </w:tc>
        <w:tc>
          <w:tcPr>
            <w:tcW w:w="80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Letter to editor</w:t>
            </w:r>
          </w:p>
        </w:tc>
        <w:tc>
          <w:tcPr>
            <w:tcW w:w="1369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1395/02/09</w:t>
            </w:r>
          </w:p>
        </w:tc>
        <w:tc>
          <w:tcPr>
            <w:tcW w:w="2581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Immunopathologia Persa Immunopathol Persa.2016;2(2):e21.</w:t>
            </w:r>
          </w:p>
        </w:tc>
      </w:tr>
      <w:tr w:rsidR="00670442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670442" w:rsidRPr="00AF1A04" w:rsidRDefault="00670442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15</w:t>
            </w:r>
          </w:p>
        </w:tc>
        <w:tc>
          <w:tcPr>
            <w:tcW w:w="5188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Serum adipokines might predict liver histology findings in non-alcoholic fatty liver disease.</w:t>
            </w:r>
          </w:p>
        </w:tc>
        <w:tc>
          <w:tcPr>
            <w:tcW w:w="1559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2.787</w:t>
            </w:r>
          </w:p>
        </w:tc>
        <w:tc>
          <w:tcPr>
            <w:tcW w:w="950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1395/03/02</w:t>
            </w:r>
          </w:p>
        </w:tc>
        <w:tc>
          <w:tcPr>
            <w:tcW w:w="2581" w:type="dxa"/>
            <w:vAlign w:val="center"/>
            <w:hideMark/>
          </w:tcPr>
          <w:p w:rsidR="00670442" w:rsidRPr="00AF1A04" w:rsidRDefault="00670442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World J Gastroenterol.2016 Jun 7;22(21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16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Comparing the predicted final and target height in girls with pubertal  onset between 7 and 9.5 years of age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CINAHL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1395/03/03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فیض دوره 20 شماره 2  1395 صفحه 188-195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17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 of Cumin cyminum L. Plus Lime Administration onWeight Loss and Metabolic Status in Overweight Subjects: A Randomized Double-Blind Placebo-Controlled Clinical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0.676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پژوهشی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1395/03/03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Iranian Red Crescent Medical Journal 2016 August; 18(8).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18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Vitamin D and Evening Primrose Oil Administration Improve Glycemia and Lipid Profiles in Women with Gestational Diabetes.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1.934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1395/03/15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Lipids. 2016 Mar;51(3)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19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Effects of long-term folate supplementation on metabolic status and regression of cervical intraepithelial neoplasia: A randomized, double-blind, 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2.839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پژوهشی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1395/03/16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Nutrition, Vol. 32, Issue 6, p681–686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20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Do Environmental Factors (Practice and Feedback)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>Moderate the Effect of the Val66met BDNF Polymorphism on Motor Learning?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>Scopus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1395/03/16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Biosciences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>Biotechnology Research Asia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lastRenderedPageBreak/>
              <w:t>21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Detection of Bendiocarb and Carbaryl Resistance Mechanisms amongGerman Cockroach Blattella germanica (Blattaria: Blattellidae) Collectedfrom Tabriz Hospitals, East Azerbaijan Province, Iran in 2013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0.865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1395/03/17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 of Arthropod-Borne Diseases 2016. 10(3)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22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 of Chitosan Incorporated with Cumin and Eucalyptus Essential Oils As Antimicrobial Agents on Fresh Chicken Meat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0.894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1395/03/25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 OF FOOD PROCESSING AND PRESERVATION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23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Determination of Synthetic Colors in Some Locally Available Foods of Kashan City, Iran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CINAHL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1395/03/26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International Archives of Health Sciences Volume 3, Issue 2, Spring 2016 Pages: 61-66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b w:val="0"/>
                <w:bCs w:val="0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24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Prevalence and Trends of Transfusion-Transmissible Viral Infections among Blood Donors in South of Iran: An Eleven-Year Retrospective Study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3.057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پژوهشی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1395/03/27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PLoS One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25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Vitamin D-K-Calcium Co-Supplementation on Endocrine, Inflammation, and Oxidative Stress Biomarkers in Vitamin D-Deficient Women with Polycystic Ovary Syndrome: A Randomized, Double-Blind, 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2.029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پژوهشی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1395/04/01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HORMONE AND METABOLIC RESEARCH 2016 Apr 6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26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COENZYME Q10 SUPPLEMENTATION ON CARDIOMETABOLIC MARKERS IN OVERWEIGHT TYPE 2 DIABETIC PATIENTS WITH STABLE MYOCARDIAL INFARCTION: A RANDOMIZED, DOUBLE-BLIND, 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1395/04/01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ARYA Atherosclerosis Vol 12, No 4 (2016)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27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vitamin D, K and calcium co-supplementation on carotid intima-media thickness and metabolic status in overweight type 2 diabetic patients with CHD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3.311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1395/04/08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British Journal of Nutrition / Volume 116 / Issue 02 / July 2016, pp 286-293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28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The effects of high-dose vitamin E supplementation on biomarkers of kidney injury, inflammation, and oxidative stress in patients with diabetic nephropathy: A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>randomized, double-blind, 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5.812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1395/04/10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 of Clinical Lipidology (2016) 10, 922</w:t>
            </w:r>
            <w:r w:rsidRPr="00AF1A04">
              <w:rPr>
                <w:rFonts w:ascii="Arial Unicode MS" w:eastAsia="Times New Roman" w:hAnsi="Arial Unicode MS" w:cstheme="majorBidi"/>
                <w:color w:val="080000"/>
              </w:rPr>
              <w:t>�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929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lastRenderedPageBreak/>
              <w:t>29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Effects of Omega-3 Fatty Acid Supplementation on Inflammatory Cytokines and Advanced Glycation End Products in Patients With Diabetic Nephropathy A Randomized 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1.14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1395/04/12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IRANIAN JOURNAL OF KIDNEY DISEASESIran J Kidney Dis. 2016 Jul;10(4):197-204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30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Chromium Supplementation on Endocrine Profiles, Biomarkers of Inflammation, and Oxidative Stress in Women with Polycystic Ovary Syndrome: a Randomized, Double-Blind, 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1.798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پژوهشی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1395/04/20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BIOLOGICAL TRACE ELEMENT RESEARCH   Volume: 172   Issue: 1   Pages: 72-78   Published: JUL 2016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31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 of folate supplementation on carotid intima-media thickness and metabolic status in patients with metabolic syndrrome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2.461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1395/04/31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Annals of Nutrition and Metabolism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32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 of Brain-Derived Neurotrophic Factor (BDNF) val66met Polymorphism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br/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br/>
              <w:t>on the Learning of Complex Motor Skill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Scopus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1395/04/31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 xml:space="preserve">دانشکده پزشکی اصفهان -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of Isfahan Medical School, Volume (34), No (382), Year (2016-7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) ,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33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 of Selenium Supplementation on Glycemic Controland Lipid Profiles in Patients with Diabetic Nephropathy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1.798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1395/05/01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Biol Trace Elem Res. 2016 Aug;172(2)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34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Effects of beta-carotene fortified synbiotic food on metabolic control of patients with type 2 diabetes mellitus: A double-blind randomized cross-over controlled clinical trial.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4.487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1395/05/04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Clinical Nutrition, Vol. 35, Issue 4, p819–825 Published online: July 15 2015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35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onion consumption on treatment of metabolic, histologic, and inflammatory features of nonalcoholic fatty liver disease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1395/05/04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 of Diabetes and Metabolic Disorders Volume 15, Issue 1, 22 July 2016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36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vitamin D plus calcium supplementation on metabolic profiles, biomarkers of inflammation, oxidative stress and pregnancy outcomes in pregnant women at risk for pre-eclampsia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2.583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1395/05/05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 OF HUMAN NUTRITION AND DIETETICS. 2016 Aug;29(4)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37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 of Alcoholic Extract of Morus Alba Leaves on Learning and Spatial Memory in Male Rats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CINAHL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1395/05/06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مجله دانشگاه علوم پزشکی قم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lastRenderedPageBreak/>
              <w:t>38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Consumption of Synbiotic Bread Containing Lactobacillus sporogenes and Inulin Affects Nitric Oxide and Malondialdehyde in Patients with Type 2 Diabetes Mellitus: Randomized, Double-Blind, 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2.245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1395/05/20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 OF THE AMERICAN COLLEGE OF NUTRITION Volume 35, 2016 - Issue 6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39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 of flaxseed oil on serum systemic and vascular inflammation markers and oxidative stress in hemodialysis patients: a randomized 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1.292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1395/05/25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International Urology and Nephrology August 2016, Volume 48, Issue 8, pp 1335–1341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40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Combined Administration of Melissa officinalis and Boswellia serrata Extracts in an Animal Model of Memory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1395/05/25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Iranian Journal of Psychiatry and Behavioral Sciences Mazandaran University of Medical Sciences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41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Grape Seed Extract Supplementation and the Effects on the Biomarkers of Oxidative Stress and Metabolic Profiles in Female Volleyball Players: A Randomized, Double-Blind, Placebo-Controlled Clinical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0.676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1395/05/27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Iranian Red Crescent Medical Journal 2016 September; 18(9):e31314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42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Protective effect of combined pumpkin seed and ginger extractson sperm characteristics, biochemical parameters and epididymalhistology in adult male rats treated with cyclophosphamide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0.861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1395/06/01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ANATOMICAL SCIENCE INTERNATIONAL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43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Proton pump inhibitors use and change in bone mineral density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1.914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1395/06/12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Int J Rheum Dis. 2016 Sep;19(9):864-8.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44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Clinical and metabolic response to probiotic supplementation in patients with rheumatoid arthritis: a randomized, double-blind, 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1.914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1395/06/13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Int J Rheum Dis. 2016 Sep;19(9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45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Soy Isoflavones on Metabolic Status of Patients With Polycystic Ovary Syndrome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5.455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1395/06/20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 Clin Endocrinol Metab. 2016 Sep;101(9)  JOURNAL OF CLINICAL ENDOCRINOLOGY &amp; METABOLISM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46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Effects of probiotic supplementation on glycaemic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>control and lipid profiles in gestational diabetes: A randomized, double-blind, placebo-controlled trial.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>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>4.693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1395/06/21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Diabetes &amp; Metabolism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>Volume 42, Issue 4, Pages 211-302 (September 2016)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lastRenderedPageBreak/>
              <w:t>47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 of Aloe vera mouthwash on postoperative complications after impacted third molar surgery: A randomized, double-blind clinical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ISI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1395/06/31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 of Oral and Maxillofacial Surgery, Medicine, and Pathology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48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synbiotic supplementation on markers of insulin metabolism and lipid profiles in gestational diabetes: a randomised, double-blind,placebo-controlled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3.311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1395/07/19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British Journal of Nutrition (2016), 116, 1394–1401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49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selenium supplementation on biomarkers of inflammation and oxidative stress in patients with diabetic nephropathy: a randomised,double-blind, 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3.311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1395/07/19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BRITISH JOURNAL OF NUTRITION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50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Effects of Probiotic Supplementation on Metabolic Status in Pregnant Women: a Randomized, Double-blind,Placebo-Controlled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0.931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1395/07/19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Archives of Iranian Medicine, Volume 19, Number 10, October 2016 687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51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Prevalence of the Metabolic Syndrome in Overweight Children and Adolescents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ایندکس نشده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1395/07/24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SCIREA Journal of Clinical Medicine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52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Etiology of short stature in children and adolescents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ایندکس نشده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1395/07/24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SCIREA Journal of Clinical Medicine October 15, 2016 Volume 1, Issue1, October 2016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53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Antifungal Effect of Lavender Essential Oil (Lavandula angustifolia) and Clotrimazole on Candida albicans: An In Vitro Study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1395/07/27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SCIENTIFICA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54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Association between BMI and gene expression of anti-Müllerian hormone and androgen receptor in human granulosa cells in women with and without polycystic ovary syndrome.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3.487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1395/08/01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Clin Endocrinol (Oxf). 2016 Oct;85(4)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55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The effects of probiotics on mental health and hypothalamic–pituitary–adrenal axis: A randomized, double-blind, placebo-controlled trial in petrochemical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>workers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lastRenderedPageBreak/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2.616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1395/08/01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Nutr Neurosci. 2016 Nov;19(9):387-395.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lastRenderedPageBreak/>
              <w:t>56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Effects of omega-3 fatty acid plus alpha-tocopherol supplementation on malnutrition–inflammation score,biomarkers of inflammation and oxidative stress in chronic hemodialysis patients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1.292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1395/08/10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International Urology and Nephrology Volume 48, Issue 11, 1 November 2016, Pages 1887-1895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57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Melatonin and human mitochondrial diseases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0.812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Review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1395/08/13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 of Research in Medical Sciences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58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 of Probiotic Supplementation on  Cognitive Function and Metabolic Status in Alzheimer,s Disease:Randomized,Double-Blind and 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4.348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پژوهشی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1395/08/20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Frontiers in  Aging Neuroscience  2016 10;8:256.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59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Comparative effects of carbohydrate versus fat restriction on metabolic profiles, biomarkers of inflammation and oxidative stress in overweight patients with Type 2 diabetic and coronary heart disease: A randomized clinical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1395/08/25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ARYA Atheroscler 2016; Volume 12; Issue 6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60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coenzyme Q10 administration on glucose homeostasis parameters, lipid profiles, biomarkers of inflammation and oxidative stress in patients with metabolic syndrome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3.239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1395/09/01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EUROPEAN JOURNAL OF NUTRITION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61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Role of Oxidative Stress and Inflammatory Factors in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br/>
              <w:t>Diabetic Kidney Disease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1.14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Review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1395/09/09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Iranian Journal of Kidney Diseases | Volume 10 | Number 6 | November 2016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62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Identification of Sarcocystis in raw hamburgers in Kashan, Iran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ISC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1395/09/30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مجله میکروب شناسی مواد غذایی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63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 of eicosapentaenoic acid on insulin resistance genes in granulosa cells of patients with polycystic ovarian syndrome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CINAHL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1395/10/12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مجله علمی ـ پژوهشی فیض. ۱۳۹۵; ۲۰ (۶) :۵۰۱-۵۰۸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64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effects of omega-3 fatty acids and vitamin E co-supplementation on gene expression of lipoprotein(a) and oxidized low-density lipoprotein, lipid profiles and biomarkers of oxidative stress in patients with polycystic ovary syndrome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3.859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1395/10/19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Molecular and Cellular Endocrinology Volume 439, 5 January 2017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lastRenderedPageBreak/>
              <w:t>65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An update on diabetic kidney disease, oxidative stress and antioxidant agents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1395/11/01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 Renal Inj Prev. 2017 Jan 20;6(2):153-157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66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 of Zinc Supplementation on Expressed</w:t>
            </w:r>
            <w:r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Levels of Peroxisome Proliferator-Activated Receptor Gamma</w:t>
            </w:r>
            <w:r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and Glucose Transporter Type 1 Genes in Newborns of Women</w:t>
            </w:r>
            <w:r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with Gestational Diabetes Mellitus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2.399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1395/11/02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Biological Trace Element Research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67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 Randomized Controlled Clinical Trial Investigating</w:t>
            </w:r>
            <w:r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the Effect of Synbiotic Administration on Markers</w:t>
            </w:r>
            <w:r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of Insulin Metabolism and Lipid Profiles in</w:t>
            </w:r>
            <w:r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Overweight</w:t>
            </w:r>
            <w:r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Type 2 Diabetic Patients with Coronary</w:t>
            </w:r>
            <w:r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>Heart Disease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1.665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1395/11/05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Experimental and Clinical Endocrinology &amp; Diabetes - Thieme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68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Ameliorative impact of cinnamon against high blood pressure; an updated review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pubmed*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Review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1395/11/13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Journal of Renal Injury Prevention 2017;6(3):171-176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69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Metabolic response to omega-3 fatty acid supplementation inpatients with diabetic nephropathy: A randomized, double-blind,placebo-controlled trial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4.487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1395/11/19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Clinical Nutrition 36 (2017) 79e84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70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Probiotic supplementation in diabetic hemodialysis patients has beneficial metabolic effects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7.683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1395/11/21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Kidney International</w:t>
            </w:r>
          </w:p>
        </w:tc>
      </w:tr>
      <w:tr w:rsidR="00AF1A04" w:rsidRPr="009D36FE" w:rsidTr="00AF1A04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71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Detection of antibiotic resistance pattern in Staphylococcus aureus isolated from ready to eat foods in Kashan, 2015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CINAHL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Short communication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1395/12/08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مجله میکروب شناسی پزشکی ایران– – سال 17 شماره 2 بهمن و اسفند 1395</w:t>
            </w:r>
          </w:p>
        </w:tc>
      </w:tr>
      <w:tr w:rsidR="00AF1A04" w:rsidRPr="009D36FE" w:rsidTr="00AF1A04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AF1A04" w:rsidRPr="00AF1A04" w:rsidRDefault="00AF1A04" w:rsidP="00AF1A04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AF1A04">
              <w:rPr>
                <w:rFonts w:asciiTheme="majorBidi" w:eastAsia="Times New Roman" w:hAnsiTheme="majorBidi"/>
                <w:color w:val="080000"/>
              </w:rPr>
              <w:t>72</w:t>
            </w:r>
          </w:p>
        </w:tc>
        <w:tc>
          <w:tcPr>
            <w:tcW w:w="5188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Effects of Long-Term Vitamin D Supplementation on Regression and Metabolic Status of Cervical Intraepithelial Neoplasia: a Randomized, Double-Blind, Placebo-Controlled Trial.</w:t>
            </w:r>
          </w:p>
        </w:tc>
        <w:tc>
          <w:tcPr>
            <w:tcW w:w="155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ISI </w:t>
            </w:r>
            <w:r w:rsidRPr="00AF1A04">
              <w:rPr>
                <w:rFonts w:asciiTheme="majorBidi" w:eastAsia="Times New Roman" w:hAnsiTheme="majorBidi" w:cstheme="majorBidi"/>
                <w:color w:val="080000"/>
                <w:rtl/>
              </w:rPr>
              <w:t>و</w:t>
            </w:r>
            <w:r w:rsidRPr="00AF1A04">
              <w:rPr>
                <w:rFonts w:asciiTheme="majorBidi" w:eastAsia="Times New Roman" w:hAnsiTheme="majorBidi" w:cstheme="majorBidi"/>
                <w:color w:val="080000"/>
              </w:rPr>
              <w:t xml:space="preserve"> PUBMED</w:t>
            </w:r>
          </w:p>
        </w:tc>
        <w:tc>
          <w:tcPr>
            <w:tcW w:w="80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3.167</w:t>
            </w:r>
          </w:p>
        </w:tc>
        <w:tc>
          <w:tcPr>
            <w:tcW w:w="950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1369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1395/12/10</w:t>
            </w:r>
          </w:p>
        </w:tc>
        <w:tc>
          <w:tcPr>
            <w:tcW w:w="2581" w:type="dxa"/>
            <w:vAlign w:val="center"/>
            <w:hideMark/>
          </w:tcPr>
          <w:p w:rsidR="00AF1A04" w:rsidRPr="00AF1A04" w:rsidRDefault="00AF1A04" w:rsidP="00AF1A04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AF1A04">
              <w:rPr>
                <w:rFonts w:asciiTheme="majorBidi" w:eastAsia="Times New Roman" w:hAnsiTheme="majorBidi" w:cstheme="majorBidi"/>
                <w:color w:val="080000"/>
              </w:rPr>
              <w:t>Hormones &amp; cancer</w:t>
            </w:r>
          </w:p>
        </w:tc>
      </w:tr>
    </w:tbl>
    <w:p w:rsidR="009303CD" w:rsidRDefault="009303CD"/>
    <w:sectPr w:rsidR="009303CD" w:rsidSect="00302A91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02A91"/>
    <w:rsid w:val="00252258"/>
    <w:rsid w:val="002F6935"/>
    <w:rsid w:val="00302A91"/>
    <w:rsid w:val="00670442"/>
    <w:rsid w:val="008910BE"/>
    <w:rsid w:val="008B4C1B"/>
    <w:rsid w:val="009303CD"/>
    <w:rsid w:val="00A3034B"/>
    <w:rsid w:val="00AF1A04"/>
    <w:rsid w:val="00C6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9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302A9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2540</Words>
  <Characters>14481</Characters>
  <Application>Microsoft Office Word</Application>
  <DocSecurity>0</DocSecurity>
  <Lines>120</Lines>
  <Paragraphs>33</Paragraphs>
  <ScaleCrop>false</ScaleCrop>
  <Company>P30Download.com Group</Company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jafari-za</dc:creator>
  <cp:keywords/>
  <dc:description/>
  <cp:lastModifiedBy>jafari-za</cp:lastModifiedBy>
  <cp:revision>2</cp:revision>
  <dcterms:created xsi:type="dcterms:W3CDTF">2018-07-11T08:16:00Z</dcterms:created>
  <dcterms:modified xsi:type="dcterms:W3CDTF">2018-07-11T08:16:00Z</dcterms:modified>
</cp:coreProperties>
</file>